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E5" w:rsidRDefault="008562E5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</w:p>
    <w:p w:rsidR="00BD1595" w:rsidRDefault="00BD1595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>
        <w:rPr>
          <w:rFonts w:ascii="Soberana Sans" w:hAnsi="Soberana Sans"/>
          <w:b/>
          <w:sz w:val="24"/>
          <w:szCs w:val="20"/>
          <w:lang w:val="es-MX"/>
        </w:rPr>
        <w:t>PROPUESTA DE CONTENIDO DE</w:t>
      </w:r>
    </w:p>
    <w:p w:rsidR="005C339F" w:rsidRDefault="005C339F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5C339F">
        <w:rPr>
          <w:rFonts w:ascii="Soberana Sans" w:hAnsi="Soberana Sans"/>
          <w:b/>
          <w:sz w:val="24"/>
          <w:szCs w:val="20"/>
          <w:lang w:val="es-MX"/>
        </w:rPr>
        <w:t xml:space="preserve">INFORME </w:t>
      </w:r>
      <w:r>
        <w:rPr>
          <w:rFonts w:ascii="Soberana Sans" w:hAnsi="Soberana Sans"/>
          <w:b/>
          <w:sz w:val="24"/>
          <w:szCs w:val="20"/>
          <w:lang w:val="es-MX"/>
        </w:rPr>
        <w:t>A</w:t>
      </w:r>
      <w:r w:rsidRPr="005C339F">
        <w:rPr>
          <w:rFonts w:ascii="Soberana Sans" w:hAnsi="Soberana Sans"/>
          <w:b/>
          <w:sz w:val="24"/>
          <w:szCs w:val="20"/>
          <w:lang w:val="es-MX"/>
        </w:rPr>
        <w:t xml:space="preserve">NUAL </w:t>
      </w:r>
    </w:p>
    <w:p w:rsidR="005C339F" w:rsidRPr="005C339F" w:rsidRDefault="005C339F" w:rsidP="00AC315B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5C339F">
        <w:rPr>
          <w:rFonts w:ascii="Soberana Sans" w:hAnsi="Soberana Sans"/>
          <w:b/>
          <w:sz w:val="24"/>
          <w:szCs w:val="20"/>
          <w:lang w:val="es-MX"/>
        </w:rPr>
        <w:t>DE MECANISMO DE PARTICIPACI</w:t>
      </w:r>
      <w:r>
        <w:rPr>
          <w:rFonts w:ascii="Soberana Sans" w:hAnsi="Soberana Sans"/>
          <w:b/>
          <w:sz w:val="24"/>
          <w:szCs w:val="20"/>
          <w:lang w:val="es-MX"/>
        </w:rPr>
        <w:t>ÓN CUDADANA 201</w:t>
      </w:r>
      <w:r w:rsidR="00981664">
        <w:rPr>
          <w:rFonts w:ascii="Soberana Sans" w:hAnsi="Soberana Sans"/>
          <w:b/>
          <w:sz w:val="24"/>
          <w:szCs w:val="20"/>
          <w:lang w:val="es-MX"/>
        </w:rPr>
        <w:t>8</w:t>
      </w:r>
      <w:r w:rsidR="00AC315B">
        <w:rPr>
          <w:rStyle w:val="Refdenotaalpie"/>
          <w:rFonts w:ascii="Soberana Sans" w:hAnsi="Soberana Sans"/>
          <w:b/>
          <w:sz w:val="24"/>
          <w:szCs w:val="20"/>
          <w:lang w:val="es-MX"/>
        </w:rPr>
        <w:footnoteReference w:id="1"/>
      </w:r>
    </w:p>
    <w:p w:rsidR="005C339F" w:rsidRPr="005C339F" w:rsidRDefault="005C339F" w:rsidP="00AC315B">
      <w:pPr>
        <w:spacing w:after="0" w:line="24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66202" w:rsidRPr="00AC315B" w:rsidTr="00AC315B">
        <w:tc>
          <w:tcPr>
            <w:tcW w:w="3539" w:type="dxa"/>
          </w:tcPr>
          <w:p w:rsidR="00D66202" w:rsidRPr="00AC315B" w:rsidRDefault="00D66202" w:rsidP="00AC315B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de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Participación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Ciudadana</w:t>
            </w:r>
            <w:proofErr w:type="spellEnd"/>
          </w:p>
        </w:tc>
        <w:tc>
          <w:tcPr>
            <w:tcW w:w="5289" w:type="dxa"/>
          </w:tcPr>
          <w:p w:rsidR="00D66202" w:rsidRPr="00AC315B" w:rsidRDefault="00F4762F" w:rsidP="00AC315B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Consejo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Directivo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del CIAD</w:t>
            </w:r>
          </w:p>
        </w:tc>
      </w:tr>
      <w:tr w:rsidR="00A710EB" w:rsidRPr="00AC315B" w:rsidTr="00AC315B">
        <w:tc>
          <w:tcPr>
            <w:tcW w:w="3539" w:type="dxa"/>
          </w:tcPr>
          <w:p w:rsidR="00A710EB" w:rsidRPr="00AC315B" w:rsidRDefault="00A710EB" w:rsidP="00AC315B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Ramo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o sector</w:t>
            </w:r>
          </w:p>
        </w:tc>
        <w:tc>
          <w:tcPr>
            <w:tcW w:w="5289" w:type="dxa"/>
          </w:tcPr>
          <w:p w:rsidR="00A710EB" w:rsidRPr="00AC315B" w:rsidRDefault="00F4762F" w:rsidP="00AC315B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38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Ciencia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Tecnología</w:t>
            </w:r>
            <w:proofErr w:type="spellEnd"/>
          </w:p>
        </w:tc>
      </w:tr>
      <w:tr w:rsidR="00A710EB" w:rsidRPr="00AC315B" w:rsidTr="00AC315B">
        <w:tc>
          <w:tcPr>
            <w:tcW w:w="3539" w:type="dxa"/>
          </w:tcPr>
          <w:p w:rsidR="00A710EB" w:rsidRPr="00AC315B" w:rsidRDefault="00A710EB" w:rsidP="00AC315B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Dependencia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o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entidad</w:t>
            </w:r>
            <w:proofErr w:type="spellEnd"/>
          </w:p>
        </w:tc>
        <w:tc>
          <w:tcPr>
            <w:tcW w:w="5289" w:type="dxa"/>
          </w:tcPr>
          <w:p w:rsidR="00A710EB" w:rsidRPr="00AC315B" w:rsidRDefault="00F4762F" w:rsidP="00AC315B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Centro de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Investigación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en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Alimentación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Soberana Sans" w:hAnsi="Soberana Sans"/>
                <w:sz w:val="16"/>
                <w:szCs w:val="16"/>
              </w:rPr>
              <w:t>Desarrollo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>, A.C.</w:t>
            </w:r>
            <w:r w:rsidR="0017157D">
              <w:rPr>
                <w:rFonts w:ascii="Soberana Sans" w:hAnsi="Soberana Sans"/>
                <w:sz w:val="16"/>
                <w:szCs w:val="16"/>
              </w:rPr>
              <w:t xml:space="preserve"> (CIAD)</w:t>
            </w:r>
          </w:p>
        </w:tc>
      </w:tr>
      <w:tr w:rsidR="00A710EB" w:rsidRPr="00AC315B" w:rsidTr="00AC315B">
        <w:tc>
          <w:tcPr>
            <w:tcW w:w="3539" w:type="dxa"/>
          </w:tcPr>
          <w:p w:rsidR="00A710EB" w:rsidRPr="00AC315B" w:rsidRDefault="00D66202" w:rsidP="00AC315B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Área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responsable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del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</w:t>
            </w:r>
            <w:proofErr w:type="spellEnd"/>
          </w:p>
        </w:tc>
        <w:tc>
          <w:tcPr>
            <w:tcW w:w="5289" w:type="dxa"/>
          </w:tcPr>
          <w:p w:rsidR="00A710EB" w:rsidRPr="00AC315B" w:rsidRDefault="00F4762F" w:rsidP="00AC315B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Dirección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 xml:space="preserve"> General</w:t>
            </w:r>
          </w:p>
        </w:tc>
      </w:tr>
    </w:tbl>
    <w:p w:rsidR="00792105" w:rsidRDefault="00792105" w:rsidP="00AC315B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AC315B" w:rsidRDefault="00AC315B" w:rsidP="00AC315B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091F02" w:rsidRPr="005C339F" w:rsidRDefault="00091F02" w:rsidP="00AC315B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5C339F" w:rsidRPr="004650ED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4650ED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I.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     </w:t>
      </w:r>
      <w:r w:rsidR="00091F02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A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vance en el cumpl</w:t>
      </w:r>
      <w:r w:rsidR="005C339F"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imiento del programa de trabajo</w:t>
      </w:r>
      <w:r w:rsid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.</w:t>
      </w:r>
    </w:p>
    <w:p w:rsidR="005C339F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:rsidR="00F4762F" w:rsidRPr="004650ED" w:rsidRDefault="00F4762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Durante 201</w:t>
      </w:r>
      <w:r w:rsidR="00981664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8</w:t>
      </w:r>
      <w:r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 xml:space="preserve"> el Consejo Directivo del CIAD</w:t>
      </w:r>
      <w:bookmarkStart w:id="0" w:name="_GoBack"/>
      <w:bookmarkEnd w:id="0"/>
      <w:r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 xml:space="preserve"> se reunió de manera ordinaria en dos ocasiones cumpliendo con el mínimo requerido en </w:t>
      </w:r>
      <w:r w:rsidR="00650383"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  <w:t>los Estatutos de la Institución (Instrumento Jurídico de Creación del CIAD).</w:t>
      </w:r>
    </w:p>
    <w:p w:rsidR="005C339F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:rsidR="00AC315B" w:rsidRPr="004650ED" w:rsidRDefault="00AC315B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:rsidR="005C339F" w:rsidRPr="004650ED" w:rsidRDefault="005C339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color w:val="2F2F2F"/>
          <w:sz w:val="20"/>
          <w:szCs w:val="20"/>
          <w:lang w:val="es-MX"/>
        </w:rPr>
      </w:pPr>
    </w:p>
    <w:p w:rsidR="00A9573F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4650ED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II.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     Actividades realizadas en el marco del Mecan</w:t>
      </w:r>
      <w:r w:rsid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ismo de participación ciudadana.</w:t>
      </w:r>
    </w:p>
    <w:p w:rsidR="0096684A" w:rsidRDefault="0096684A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</w:p>
    <w:p w:rsidR="000228B8" w:rsidRDefault="005C5EEC" w:rsidP="005C5EEC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Algunas de</w:t>
      </w:r>
      <w:r w:rsidR="00CF5D9E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las principales normas jurídicas que otorgan facultades al Consejo Directivo del Centro de Investigación en Alimentación y Desarrollo, A.C. s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on</w:t>
      </w:r>
      <w:r w:rsidR="00CF5D9E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:</w:t>
      </w:r>
      <w:r w:rsidR="00074F7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="0096684A" w:rsidRPr="00410CD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="00CF5D9E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a) </w:t>
      </w:r>
      <w:r w:rsidR="0096684A" w:rsidRPr="00410CD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Ley de Ciencia y Tecnología</w:t>
      </w:r>
      <w:r w:rsidR="00CF5D9E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; b)</w:t>
      </w:r>
      <w:r w:rsidR="006D0BE6" w:rsidRPr="006D0BE6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="00074F7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Ley Federal de Entidades Paraestatales</w:t>
      </w:r>
      <w:r w:rsidR="000228B8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; c)</w:t>
      </w:r>
      <w:r w:rsidR="00074F7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="006D0BE6" w:rsidRPr="005F47E2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Ley Federal de Presupu</w:t>
      </w:r>
      <w:r w:rsidR="00074F7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esto y Responsabilidad Hacendari</w:t>
      </w:r>
      <w:r w:rsidR="006D0BE6" w:rsidRPr="005F47E2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</w:t>
      </w:r>
      <w:r w:rsidR="00074F7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y su Reglamento</w:t>
      </w:r>
      <w:r w:rsidR="000228B8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; d)</w:t>
      </w:r>
      <w:r w:rsidR="0096684A" w:rsidRPr="00410CD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Instrumento Jurídico de Creación del Cen</w:t>
      </w:r>
      <w:r w:rsidR="00074F7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tro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de Investigación en Alimentación y Desarrollo, A.C.</w:t>
      </w:r>
      <w:r w:rsidR="000228B8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; e)</w:t>
      </w:r>
      <w:r w:rsidR="006D0BE6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Pr="005C5EEC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Reglas de Operación del Fondo de Investigación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Científica y Desarrollo Tecn</w:t>
      </w:r>
      <w:r w:rsidRPr="005C5EEC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ológic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o</w:t>
      </w:r>
      <w:r w:rsidRPr="005C5EEC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del Centro de Investigación en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Alimentación y Desarrollo, A.C.</w:t>
      </w:r>
      <w:r w:rsidR="000228B8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;</w:t>
      </w:r>
      <w:r w:rsidR="00CE141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y </w:t>
      </w:r>
      <w:r w:rsidR="000228B8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f)</w:t>
      </w:r>
      <w:r w:rsidR="00CE141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Marco de Operación del Comité Externo de Evaluación del Centro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Pr="00967C5E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de Investigación en Alimentación y Desarrollo, A.C</w:t>
      </w:r>
      <w:r w:rsidR="000228B8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.</w:t>
      </w:r>
    </w:p>
    <w:p w:rsidR="000228B8" w:rsidRDefault="000228B8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0228B8" w:rsidRDefault="000228B8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Entre los principales acuerdos que tomó el Consejo Directivo durante las</w:t>
      </w:r>
      <w:r w:rsidR="00981664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dos sesiones realizadas en 2018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se encuentran las siguientes:</w:t>
      </w:r>
    </w:p>
    <w:p w:rsidR="005C339F" w:rsidRDefault="000228B8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</w:p>
    <w:p w:rsidR="00CC1DCF" w:rsidRDefault="00981664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Primera sesión ordinaria 2018</w:t>
      </w:r>
      <w:r w:rsidR="00CC1DC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. </w:t>
      </w:r>
    </w:p>
    <w:p w:rsidR="00CC1DCF" w:rsidRDefault="00CC1DC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410CD3" w:rsidRPr="00410CD3" w:rsidRDefault="0096684A" w:rsidP="00410CD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Aprobó</w:t>
      </w:r>
      <w:r w:rsidR="00410CD3" w:rsidRPr="00410CD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el</w:t>
      </w:r>
      <w:r w:rsidR="00782129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informe de autoevaluación 2017</w:t>
      </w:r>
      <w:r w:rsidR="000228B8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.</w:t>
      </w:r>
      <w:r w:rsidR="00410CD3" w:rsidRPr="00410CD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</w:p>
    <w:p w:rsidR="00FE1B59" w:rsidRDefault="005C5EEC" w:rsidP="00737A9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Aprobó</w:t>
      </w:r>
      <w:r w:rsidR="00967C5E" w:rsidRPr="00967C5E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por unanimidad de votos los Estados Financieros Dictaminados con c</w:t>
      </w:r>
      <w:r w:rsidR="00197C9C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ifras al 31 de diciembre de 2017</w:t>
      </w:r>
      <w:r w:rsidR="00FE1B59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.</w:t>
      </w:r>
    </w:p>
    <w:p w:rsidR="00782129" w:rsidRDefault="005C5EEC" w:rsidP="007A58C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 w:rsidRPr="00782129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Aprobó</w:t>
      </w:r>
      <w:r w:rsidR="005F47E2" w:rsidRPr="00782129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="00782129" w:rsidRPr="00782129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por unanimidad de votos la distribución del presupuesto anual definitivo de la entidad y el programa de inversiones para el presente ejercicio fiscal por un monto de $400,636,777.00 (Cuatrocientos millones seiscientos treinta y seis mil setecientos setenta y siete pesos 00/100 M.N.), en concordancia con lo aprobado por la Cámara de Diputados y los artículos 39 y 42 de la Ley Federal de Presupuesto y Responsabilidad Hacendaria. </w:t>
      </w:r>
    </w:p>
    <w:p w:rsidR="00B538DB" w:rsidRPr="00B538DB" w:rsidRDefault="00B538DB" w:rsidP="007A58C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Autoriza por unanimidad de votos las adecuaciones al presupuesto, a sus programas y flujo de efectivo para el presente ejercicio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fiscal que no impliquen la afectación de su monto total autorizado, recursos</w:t>
      </w:r>
    </w:p>
    <w:p w:rsidR="00B538DB" w:rsidRPr="00B538DB" w:rsidRDefault="00B538DB" w:rsidP="00B538DB">
      <w:pPr>
        <w:pStyle w:val="Prrafodelista"/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de inversión, ni afecten el cumplimiento de los objetivos y metas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comprometidas, y que permitan un ejercicio eficiente de los recursos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proofErr w:type="gramStart"/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transferidos</w:t>
      </w:r>
      <w:proofErr w:type="gramEnd"/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así como un ejercicio 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presupuestal</w:t>
      </w:r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de conformidad a lo</w:t>
      </w:r>
    </w:p>
    <w:p w:rsidR="00B538DB" w:rsidRDefault="00B538DB" w:rsidP="00B538DB">
      <w:pPr>
        <w:pStyle w:val="Prrafodelista"/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autorizado y a la normatividad vigente. Se solicita al Centro de Investigación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en Alimentación y Desarrollo, A.C., que se atienda lo dispuesto en los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artículos 57 y 58 de la Ley Federal de Presupuesto y Responsabilidad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Hacendari</w:t>
      </w:r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a, y 9, 10 y 100 de su Reglamento. En consecuencia, el Centro de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Investigación en Alimentación y Desarrollo, A.C. informará a este Consejo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Directivo en su siguiente sesión ordinaria el ejercicio de los presupuestos de</w:t>
      </w:r>
      <w:r w:rsidRPr="00B538DB">
        <w:t xml:space="preserve"> </w:t>
      </w:r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ingresos y egresos que incluya las adecuaciones que se lleven a cabo con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base en este Acuerdo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.</w:t>
      </w:r>
    </w:p>
    <w:p w:rsidR="005F47E2" w:rsidRDefault="00B538DB" w:rsidP="00B538DB">
      <w:pPr>
        <w:pStyle w:val="Prrafodelista"/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 w:rsidRPr="00B538DB">
        <w:rPr>
          <w:rFonts w:ascii="Soberana Sans" w:eastAsia="Times New Roman" w:hAnsi="Soberana Sans" w:cs="Arial"/>
          <w:bCs/>
          <w:noProof/>
          <w:color w:val="2F2F2F"/>
          <w:sz w:val="20"/>
          <w:szCs w:val="20"/>
          <w:lang w:val="es-MX" w:eastAsia="es-MX"/>
        </w:rPr>
        <w:lastRenderedPageBreak/>
        <w:t xml:space="preserve"> </w:t>
      </w:r>
    </w:p>
    <w:p w:rsidR="00B538DB" w:rsidRPr="00B538DB" w:rsidRDefault="00B538DB" w:rsidP="007A58C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Autoriza por unanimidad de votos las modificaciones presupuestarias procedentes que requieran la autorización de la Secretaría de Hacienda y Crédito Público y que deban realizarse de manera regular, incluyendo, entre otros, traspasos que impliquen incrementar el presupuesto total </w:t>
      </w:r>
      <w:proofErr w:type="spellStart"/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regularizable</w:t>
      </w:r>
      <w:proofErr w:type="spellEnd"/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de servicios personales de la entidad derivados de la aplicación de la política salarial, promociones, actualización del factor de prima de antigüedad, actualización de prestaciones; cambios a los calendarios de presupuesto no compensados; modificaciones a los subsidios que otorguen con cargo a recursos presupuestarios siempre que sean incrementales. Lo anterior en el entendido que dichos movimientos presupuestales no comprometan el cumplimiento de los objetivos y metas, y que permitan un ejercicio eficiente de los recursos transferidos, así como un 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ejercicio presupuestal</w:t>
      </w:r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de conformidad a lo dispuesto en los artículos 57, 58 y 59 de la Ley Federal de Presupuesto y Responsabilidad Hacendaria, y 9, 10 y 99 de su Reglamento. En consecuencia, el Centro de Investigación en Alimentación y Desarrollo, A.C. informará a este Consejo Directivo en su siguiente sesión ordinaria el ejercicio de los presupuestos de ingresos y egresos que incluya las adecuaciones que se lleven a cabo con base en este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Pr="00B538D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Acuerdo.</w:t>
      </w:r>
    </w:p>
    <w:p w:rsidR="00AB1C2B" w:rsidRPr="00AB1C2B" w:rsidRDefault="00AB1C2B" w:rsidP="007A58C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 w:rsidRPr="00AB1C2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</w:t>
      </w:r>
      <w:r w:rsidR="00B538DB" w:rsidRPr="00AB1C2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prueba por unanimidad de votos la relación de precios y tarifas por proyectos, productos y servicios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="00B538DB" w:rsidRPr="00AB1C2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que generaron ingresos durante el ejercicio fiscal 2017, presentada por el Titular del Centro, por la cantidad de $33'138,735.00 (Treinta y tres millones ciento treinta y ocho mil setecientos treinta y cinco pesos 00/100 M.N.). </w:t>
      </w:r>
    </w:p>
    <w:p w:rsidR="0096684A" w:rsidRDefault="0096684A" w:rsidP="00CC1DCF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CC1DCF" w:rsidRDefault="00CC1DCF" w:rsidP="00CC1DCF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Segunda sesión ordinaria 201</w:t>
      </w:r>
      <w:r w:rsidR="00017BB2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8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.</w:t>
      </w:r>
    </w:p>
    <w:p w:rsidR="00CC1DCF" w:rsidRDefault="00CC1DCF" w:rsidP="00CC1DCF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331322" w:rsidRPr="00331322" w:rsidRDefault="00017BB2" w:rsidP="007A58C3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 la fecha de elaboración del presente (29/10/2018) aún no se cuenta con la versión final del acta de esta sesión.</w:t>
      </w:r>
      <w:r w:rsidRPr="00331322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</w:p>
    <w:p w:rsidR="00697F92" w:rsidRPr="004650ED" w:rsidRDefault="00697F92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A9573F" w:rsidRPr="004650ED" w:rsidRDefault="00A9573F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4650ED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III.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 xml:space="preserve">    Evaluación </w:t>
      </w:r>
      <w:r w:rsid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de los resultados alcanzados.</w:t>
      </w:r>
    </w:p>
    <w:p w:rsidR="0087713B" w:rsidRDefault="0087713B" w:rsidP="0087713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3D30EB" w:rsidRDefault="007A58C3" w:rsidP="0087713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Primera sesión ordinaria 2018</w:t>
      </w:r>
      <w:r w:rsidR="003D30E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.</w:t>
      </w:r>
    </w:p>
    <w:p w:rsidR="003D30EB" w:rsidRDefault="003D30EB" w:rsidP="0087713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5C339F" w:rsidRDefault="003D30EB" w:rsidP="008F3223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El Comité Externo de Evaluación </w:t>
      </w:r>
      <w:r w:rsidR="00DC4C1E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(CEE) 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presentó su dictamen sobre el Informe de Autoevaluación Anual </w:t>
      </w:r>
      <w:r w:rsidR="007A58C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2017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en el que se hace </w:t>
      </w:r>
      <w:r w:rsidR="008F322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la siguiente declaración “</w:t>
      </w:r>
      <w:r w:rsidR="008F3223" w:rsidRPr="008F322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En general se reconoce que la mayoría de las observaciones emitidas por este comité han</w:t>
      </w:r>
      <w:r w:rsidR="008F322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="008F3223" w:rsidRPr="008F322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sido debidamente atendidas.</w:t>
      </w:r>
      <w:r w:rsidR="008F322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”.  Adicionalmente realizó algunas recomendaciones, entre las que se cuentan las siguientes:</w:t>
      </w:r>
    </w:p>
    <w:p w:rsidR="008F3223" w:rsidRDefault="008F3223" w:rsidP="008F3223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8F3223" w:rsidRDefault="008F3223" w:rsidP="000D268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 w:rsidRPr="008F322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Se propone la reorganización interna de acuerdo a las áreas: a) Inocuidad, Sanidad y Seguridad Alimentaria; b) 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Sustentabilid</w:t>
      </w:r>
      <w:r w:rsidRPr="008F322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d</w:t>
      </w:r>
      <w:r w:rsidRPr="008F322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Alimentaria; c) Medio Ambiente y Recursos Naturales; d) Nutrición, Alimentación y Salud; e) Rezago Tecnológico y Competitividad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.</w:t>
      </w:r>
    </w:p>
    <w:p w:rsidR="008F3223" w:rsidRDefault="008F3223" w:rsidP="005A5749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 w:rsidRPr="008F322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La iniciativa de reingeniería institucional es de la mayor prioridad en el futuro próximo. No </w:t>
      </w:r>
      <w:proofErr w:type="gramStart"/>
      <w:r w:rsidRPr="008F322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obstante</w:t>
      </w:r>
      <w:proofErr w:type="gramEnd"/>
      <w:r w:rsidRPr="008F322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recomendamos que ese ejercicio sea precedido por una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diagnóstico interno que sirva d</w:t>
      </w:r>
      <w:r w:rsidRPr="008F322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e base.</w:t>
      </w:r>
    </w:p>
    <w:p w:rsidR="008F3223" w:rsidRDefault="008F3223" w:rsidP="00D63485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 w:rsidRPr="008F322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Continuar con la revisión de los resultados que se presentan dando énfasis a los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impactos socioeconómicos d</w:t>
      </w:r>
      <w:r w:rsidRPr="008F3223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e los distintos proyectos.</w:t>
      </w:r>
    </w:p>
    <w:p w:rsidR="00DC4C1E" w:rsidRDefault="00DC4C1E" w:rsidP="00DC4C1E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DC4C1E" w:rsidRDefault="00DC4C1E" w:rsidP="00DC4C1E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La versión completa del dictamen 2018 del CEE se puede consultar en:</w:t>
      </w:r>
    </w:p>
    <w:p w:rsidR="00DC4C1E" w:rsidRDefault="00DC4C1E" w:rsidP="00DC4C1E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DC4C1E" w:rsidRDefault="002A2D31" w:rsidP="00DC4C1E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hyperlink r:id="rId8" w:history="1">
        <w:r w:rsidR="00DC4C1E" w:rsidRPr="006560E3">
          <w:rPr>
            <w:rStyle w:val="Hipervnculo"/>
            <w:rFonts w:ascii="Soberana Sans" w:eastAsia="Times New Roman" w:hAnsi="Soberana Sans" w:cs="Arial"/>
            <w:bCs/>
            <w:sz w:val="20"/>
            <w:szCs w:val="20"/>
            <w:lang w:val="es-MX"/>
          </w:rPr>
          <w:t>https://www.ciad.mx/archivos/lcyt/dictamen_CEE_CIAD_2017.pdf</w:t>
        </w:r>
      </w:hyperlink>
    </w:p>
    <w:p w:rsidR="00DC4C1E" w:rsidRPr="00DC4C1E" w:rsidRDefault="00DC4C1E" w:rsidP="00DC4C1E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8F3223" w:rsidRDefault="008F3223" w:rsidP="008F3223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3D30EB" w:rsidRDefault="003D30EB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Por otro lado en la presentación de la evaluación por parte del CONACYT con respecto al cumplimiento </w:t>
      </w:r>
      <w:r w:rsidR="00A16A8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de los indicadores CAR se obtuvo una clasificación </w:t>
      </w:r>
      <w:r w:rsidR="00781991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de </w:t>
      </w:r>
      <w:r w:rsidR="001872E5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35.28</w:t>
      </w:r>
      <w:r w:rsidR="00A16A8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% de un total de 40%; por el dictamen del Comité Externo de Evaluación 20% de un total de 20%; en cuanto al cumplimiento en tiempo y forma de los a</w:t>
      </w:r>
      <w:r w:rsidR="001872E5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cuerdos de Órgano de Gobierno 15</w:t>
      </w:r>
      <w:r w:rsidR="00A16A8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% de un total de 20%; por lo que se refiere al rubro de Planeación y g</w:t>
      </w:r>
      <w:r w:rsidR="001872E5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estión presupuestal se obtuvo 12</w:t>
      </w:r>
      <w:r w:rsidR="00A16A8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.</w:t>
      </w:r>
      <w:r w:rsidR="001872E5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4</w:t>
      </w:r>
      <w:r w:rsidR="00A16A8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% de un total de 20%; adicionalmente por el tema de Participación del Centro en la integración del Sistema</w:t>
      </w:r>
      <w:r w:rsidR="001E3614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de Centros CONACYT se le otorgaron 5% adicionales</w:t>
      </w:r>
      <w:r w:rsidR="00C36E9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co</w:t>
      </w:r>
      <w:r w:rsidR="001872E5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n los que acumula un total de 87.68</w:t>
      </w:r>
      <w:r w:rsidR="00C36E9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% sobre </w:t>
      </w:r>
      <w:r w:rsidR="001872E5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100% para la evaluación del 2017</w:t>
      </w:r>
      <w:r w:rsidR="00C36E9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.</w:t>
      </w:r>
    </w:p>
    <w:p w:rsidR="00C36E90" w:rsidRDefault="00C36E90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907A75" w:rsidRDefault="00907A75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Esta evaluación puede consultarse completa en la siguiente dirección Web:</w:t>
      </w:r>
    </w:p>
    <w:p w:rsidR="00907A75" w:rsidRDefault="00907A75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907A75" w:rsidRDefault="002A2D31" w:rsidP="00AC315B">
      <w:pPr>
        <w:shd w:val="clear" w:color="auto" w:fill="FFFFFF"/>
        <w:spacing w:after="0" w:line="240" w:lineRule="auto"/>
        <w:jc w:val="both"/>
        <w:rPr>
          <w:rStyle w:val="Hipervnculo"/>
          <w:rFonts w:ascii="Soberana Sans" w:eastAsia="Times New Roman" w:hAnsi="Soberana Sans" w:cs="Arial"/>
          <w:bCs/>
          <w:sz w:val="20"/>
          <w:szCs w:val="20"/>
          <w:lang w:val="es-MX"/>
        </w:rPr>
      </w:pPr>
      <w:hyperlink r:id="rId9" w:history="1">
        <w:r w:rsidR="004A7244" w:rsidRPr="006560E3">
          <w:rPr>
            <w:rStyle w:val="Hipervnculo"/>
            <w:rFonts w:ascii="Soberana Sans" w:eastAsia="Times New Roman" w:hAnsi="Soberana Sans" w:cs="Arial"/>
            <w:bCs/>
            <w:sz w:val="20"/>
            <w:szCs w:val="20"/>
            <w:lang w:val="es-MX"/>
          </w:rPr>
          <w:t>https://www.ciad.mx/archivos/lcyt/Evaluacion_CONACYT_CAR.pdf</w:t>
        </w:r>
      </w:hyperlink>
    </w:p>
    <w:p w:rsidR="004A7244" w:rsidRDefault="004A7244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744A00" w:rsidRDefault="00781991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Finalmente se cuenta con la evaluación del Comisario Público contenida en el documento denominado “Opinión de los Comisarios</w:t>
      </w:r>
      <w:r w:rsidR="00744A0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Públicos al Informe de Autoevaluación”; por lo que se refiere 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 la primera sesión ordinaria 201</w:t>
      </w:r>
      <w:r w:rsidR="0030257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8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la opinión se basa en el</w:t>
      </w:r>
      <w:r w:rsidR="0030257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Informe de Autoevaluación 2017</w:t>
      </w:r>
      <w:r w:rsidR="00744A0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que presenta el Titular del Centro al Consejo Directivo en la primera sesión del 201</w:t>
      </w:r>
      <w:r w:rsidR="0030257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8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.</w:t>
      </w:r>
      <w:r w:rsidR="00AE5FA1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En este documento se incluyen las siguientes recomendaciones:</w:t>
      </w:r>
    </w:p>
    <w:p w:rsidR="00744A00" w:rsidRDefault="00744A00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744A00" w:rsidRPr="00744A00" w:rsidRDefault="00744A00" w:rsidP="00744A00">
      <w:pPr>
        <w:shd w:val="clear" w:color="auto" w:fill="FFFFFF"/>
        <w:spacing w:after="0" w:line="240" w:lineRule="auto"/>
        <w:ind w:left="709" w:hanging="709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 w:rsidRPr="00744A0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01/201</w:t>
      </w:r>
      <w:r w:rsidR="0030257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8</w:t>
      </w:r>
      <w:r w:rsidRPr="00744A0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Identificar los factores que generaron los menores resultados de los indicadores,</w:t>
      </w:r>
      <w:r w:rsidR="0097536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Pr="00744A0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y aplicar las medidas que permitan alcanzar las metas de comprometidas.</w:t>
      </w:r>
    </w:p>
    <w:p w:rsidR="0030257F" w:rsidRDefault="0030257F" w:rsidP="0030257F">
      <w:pPr>
        <w:shd w:val="clear" w:color="auto" w:fill="FFFFFF"/>
        <w:spacing w:after="0" w:line="240" w:lineRule="auto"/>
        <w:ind w:left="709" w:hanging="709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02/2018</w:t>
      </w:r>
      <w:r w:rsidR="00744A00" w:rsidRPr="00744A0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Pr="0030257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Llevar a cabo las acciones que les permitan incrementar la captación de ingresos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Pr="0030257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propios y autogenerados con la debida programación financiera.</w:t>
      </w:r>
    </w:p>
    <w:p w:rsidR="0030257F" w:rsidRDefault="00744A00" w:rsidP="0030257F">
      <w:pPr>
        <w:shd w:val="clear" w:color="auto" w:fill="FFFFFF"/>
        <w:spacing w:after="0" w:line="240" w:lineRule="auto"/>
        <w:ind w:left="709" w:hanging="709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 w:rsidRPr="00744A0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03/201</w:t>
      </w:r>
      <w:r w:rsidR="0030257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8</w:t>
      </w:r>
      <w:r w:rsidRPr="00744A0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="0030257F" w:rsidRPr="0030257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Atender los elementos de control interno a fin de cumplir con las metas</w:t>
      </w:r>
      <w:r w:rsidR="0030257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="0030257F" w:rsidRPr="0030257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comprometidas, y los riesgos identificados por el Centro de Investigación y el</w:t>
      </w:r>
      <w:r w:rsidR="0030257F" w:rsidRPr="0030257F">
        <w:t xml:space="preserve"> </w:t>
      </w:r>
      <w:r w:rsidR="0030257F" w:rsidRPr="0030257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OIC, y en su caso, los del Cuadrante I, para evitar que se materialicen.</w:t>
      </w:r>
    </w:p>
    <w:p w:rsidR="00744A00" w:rsidRDefault="00744A00" w:rsidP="0030257F">
      <w:pPr>
        <w:shd w:val="clear" w:color="auto" w:fill="FFFFFF"/>
        <w:spacing w:after="0" w:line="240" w:lineRule="auto"/>
        <w:ind w:left="709" w:hanging="709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04/201</w:t>
      </w:r>
      <w:r w:rsidR="0030257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8</w:t>
      </w: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Pr="00744A0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Continuar fomentando una cultura de uso eficaz y eficiente de los recursos en</w:t>
      </w:r>
      <w:r w:rsidR="0097536B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Pr="00744A0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materia de gasto administrativo y de operación.</w:t>
      </w:r>
    </w:p>
    <w:p w:rsidR="0030257F" w:rsidRDefault="00744A00" w:rsidP="0030257F">
      <w:pPr>
        <w:shd w:val="clear" w:color="auto" w:fill="FFFFFF"/>
        <w:spacing w:after="0" w:line="240" w:lineRule="auto"/>
        <w:ind w:left="709" w:hanging="709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 w:rsidRPr="00744A0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05/201</w:t>
      </w:r>
      <w:r w:rsidR="0030257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8</w:t>
      </w:r>
      <w:r w:rsidRPr="00744A00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="0030257F" w:rsidRPr="0030257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Cumplir en tiempo y forma con lo dispuesto en el programa de entrega-recepción</w:t>
      </w:r>
      <w:r w:rsidR="0030257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  <w:r w:rsidR="0030257F" w:rsidRPr="0030257F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de la presente Administración.</w:t>
      </w:r>
    </w:p>
    <w:p w:rsidR="0030257F" w:rsidRDefault="0030257F" w:rsidP="0030257F">
      <w:pPr>
        <w:shd w:val="clear" w:color="auto" w:fill="FFFFFF"/>
        <w:spacing w:after="0" w:line="240" w:lineRule="auto"/>
        <w:ind w:left="709" w:hanging="709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06/2018 Realizar las acciones de prevención y control, que eviten la comisión de delitos electorales.</w:t>
      </w:r>
    </w:p>
    <w:p w:rsidR="00087014" w:rsidRDefault="00087014" w:rsidP="003B0020">
      <w:pPr>
        <w:shd w:val="clear" w:color="auto" w:fill="FFFFFF"/>
        <w:spacing w:after="0" w:line="240" w:lineRule="auto"/>
        <w:ind w:left="709" w:hanging="709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087014" w:rsidRDefault="00087014" w:rsidP="003B0020">
      <w:pPr>
        <w:shd w:val="clear" w:color="auto" w:fill="FFFFFF"/>
        <w:spacing w:after="0" w:line="240" w:lineRule="auto"/>
        <w:ind w:left="709" w:hanging="709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La versión completa de este documento se puede consultar en la siguiente dirección Web:</w:t>
      </w:r>
    </w:p>
    <w:p w:rsidR="00412EC9" w:rsidRDefault="00412EC9" w:rsidP="003B0020">
      <w:pPr>
        <w:shd w:val="clear" w:color="auto" w:fill="FFFFFF"/>
        <w:spacing w:after="0" w:line="240" w:lineRule="auto"/>
        <w:ind w:left="709" w:hanging="709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412EC9" w:rsidRDefault="002A2D31" w:rsidP="003B0020">
      <w:pPr>
        <w:shd w:val="clear" w:color="auto" w:fill="FFFFFF"/>
        <w:spacing w:after="0" w:line="240" w:lineRule="auto"/>
        <w:ind w:left="709" w:hanging="709"/>
        <w:jc w:val="both"/>
        <w:rPr>
          <w:rStyle w:val="Hipervnculo"/>
          <w:rFonts w:ascii="Soberana Sans" w:eastAsia="Times New Roman" w:hAnsi="Soberana Sans" w:cs="Arial"/>
          <w:bCs/>
          <w:sz w:val="20"/>
          <w:szCs w:val="20"/>
          <w:lang w:val="es-MX"/>
        </w:rPr>
      </w:pPr>
      <w:hyperlink r:id="rId10" w:history="1">
        <w:r w:rsidR="00C37A50" w:rsidRPr="006560E3">
          <w:rPr>
            <w:rStyle w:val="Hipervnculo"/>
            <w:rFonts w:ascii="Soberana Sans" w:eastAsia="Times New Roman" w:hAnsi="Soberana Sans" w:cs="Arial"/>
            <w:bCs/>
            <w:sz w:val="20"/>
            <w:szCs w:val="20"/>
            <w:lang w:val="es-MX"/>
          </w:rPr>
          <w:t>https://www.ciad.mx/archivos/lcyt/CIAD_Opinion_Informe_Autoe_ej2017.pdf</w:t>
        </w:r>
      </w:hyperlink>
    </w:p>
    <w:p w:rsidR="00C37A50" w:rsidRDefault="00C37A50" w:rsidP="003B0020">
      <w:pPr>
        <w:shd w:val="clear" w:color="auto" w:fill="FFFFFF"/>
        <w:spacing w:after="0" w:line="240" w:lineRule="auto"/>
        <w:ind w:left="709" w:hanging="709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087014" w:rsidRDefault="00C37A50" w:rsidP="003B0020">
      <w:pPr>
        <w:shd w:val="clear" w:color="auto" w:fill="FFFFFF"/>
        <w:spacing w:after="0" w:line="240" w:lineRule="auto"/>
        <w:ind w:left="709" w:hanging="709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Segunda sesión ordinaria 2018</w:t>
      </w:r>
      <w:r w:rsidR="00781991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.</w:t>
      </w:r>
    </w:p>
    <w:p w:rsidR="00781991" w:rsidRDefault="00781991" w:rsidP="003B0020">
      <w:pPr>
        <w:shd w:val="clear" w:color="auto" w:fill="FFFFFF"/>
        <w:spacing w:after="0" w:line="240" w:lineRule="auto"/>
        <w:ind w:left="709" w:hanging="709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C37A50" w:rsidRPr="00331322" w:rsidRDefault="00C37A50" w:rsidP="00C37A50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 la fecha de elaboración del presente (29/10/2018) aún no se cuenta con la versión final del acta de esta sesión.</w:t>
      </w:r>
      <w:r w:rsidRPr="00331322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</w:p>
    <w:p w:rsidR="00B44CBB" w:rsidRPr="004650ED" w:rsidRDefault="00B44CBB" w:rsidP="003B0020">
      <w:pPr>
        <w:shd w:val="clear" w:color="auto" w:fill="FFFFFF"/>
        <w:spacing w:after="0" w:line="240" w:lineRule="auto"/>
        <w:ind w:left="709" w:hanging="709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AC315B" w:rsidRPr="004650ED" w:rsidRDefault="00AC315B" w:rsidP="00AC315B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</w:p>
    <w:p w:rsidR="00A9573F" w:rsidRPr="00792C5D" w:rsidRDefault="00A9573F" w:rsidP="00792C5D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</w:pPr>
      <w:r w:rsidRPr="004650ED">
        <w:rPr>
          <w:rFonts w:ascii="Soberana Sans" w:eastAsia="Times New Roman" w:hAnsi="Soberana Sans" w:cs="Arial"/>
          <w:b/>
          <w:bCs/>
          <w:color w:val="2F2F2F"/>
          <w:sz w:val="20"/>
          <w:szCs w:val="20"/>
          <w:lang w:val="es-MX"/>
        </w:rPr>
        <w:t>IV.</w:t>
      </w:r>
      <w:r w:rsidRP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   </w:t>
      </w:r>
      <w:r w:rsidR="004650ED">
        <w:rPr>
          <w:rFonts w:ascii="Soberana Sans" w:eastAsia="Times New Roman" w:hAnsi="Soberana Sans" w:cs="Arial"/>
          <w:b/>
          <w:color w:val="2F2F2F"/>
          <w:sz w:val="20"/>
          <w:szCs w:val="20"/>
          <w:lang w:val="es-MX"/>
        </w:rPr>
        <w:t>En su caso, resultados generados</w:t>
      </w:r>
    </w:p>
    <w:p w:rsidR="00697F92" w:rsidRDefault="00697F92" w:rsidP="00AC315B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577CC3" w:rsidRDefault="00577CC3" w:rsidP="00412EC9">
      <w:pPr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>Primera sesión ordinaria 2017.</w:t>
      </w:r>
    </w:p>
    <w:p w:rsidR="00577CC3" w:rsidRDefault="00577CC3" w:rsidP="00412EC9">
      <w:pPr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</w:p>
    <w:p w:rsidR="00412EC9" w:rsidRDefault="00412EC9" w:rsidP="00C37A50">
      <w:pPr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>Entre los resultados sustantivos más importantes reportados en e</w:t>
      </w:r>
      <w:r w:rsidR="00C37A50">
        <w:rPr>
          <w:rFonts w:ascii="Soberana Sans" w:hAnsi="Soberana Sans"/>
          <w:sz w:val="20"/>
          <w:szCs w:val="20"/>
          <w:lang w:val="es-MX"/>
        </w:rPr>
        <w:t>l Informe de Autoevaluación 2017</w:t>
      </w:r>
      <w:r>
        <w:rPr>
          <w:rFonts w:ascii="Soberana Sans" w:hAnsi="Soberana Sans"/>
          <w:sz w:val="20"/>
          <w:szCs w:val="20"/>
          <w:lang w:val="es-MX"/>
        </w:rPr>
        <w:t xml:space="preserve"> se tuvieron </w:t>
      </w:r>
      <w:r w:rsidR="00C37A50">
        <w:rPr>
          <w:rFonts w:ascii="Soberana Sans" w:hAnsi="Soberana Sans"/>
          <w:sz w:val="20"/>
          <w:szCs w:val="20"/>
          <w:lang w:val="es-MX"/>
        </w:rPr>
        <w:t>371</w:t>
      </w:r>
      <w:r w:rsidRPr="00412EC9">
        <w:rPr>
          <w:rFonts w:ascii="Soberana Sans" w:hAnsi="Soberana Sans"/>
          <w:sz w:val="20"/>
          <w:szCs w:val="20"/>
          <w:lang w:val="es-MX"/>
        </w:rPr>
        <w:t xml:space="preserve"> publicaciones arbitradas</w:t>
      </w:r>
      <w:r w:rsidR="00C37A50">
        <w:rPr>
          <w:rFonts w:ascii="Soberana Sans" w:hAnsi="Soberana Sans"/>
          <w:sz w:val="20"/>
          <w:szCs w:val="20"/>
          <w:lang w:val="es-MX"/>
        </w:rPr>
        <w:t>,</w:t>
      </w:r>
      <w:r w:rsidRPr="00412EC9">
        <w:rPr>
          <w:rFonts w:ascii="Soberana Sans" w:hAnsi="Soberana Sans"/>
          <w:sz w:val="20"/>
          <w:szCs w:val="20"/>
          <w:lang w:val="es-MX"/>
        </w:rPr>
        <w:t xml:space="preserve"> </w:t>
      </w:r>
      <w:r w:rsidR="00C37A50">
        <w:rPr>
          <w:rFonts w:ascii="Soberana Sans" w:hAnsi="Soberana Sans"/>
          <w:sz w:val="20"/>
          <w:szCs w:val="20"/>
          <w:lang w:val="es-MX"/>
        </w:rPr>
        <w:t xml:space="preserve">3.4% </w:t>
      </w:r>
      <w:r w:rsidR="00C37A50" w:rsidRPr="00C37A50">
        <w:rPr>
          <w:rFonts w:ascii="Soberana Sans" w:hAnsi="Soberana Sans"/>
          <w:sz w:val="20"/>
          <w:szCs w:val="20"/>
          <w:lang w:val="es-MX"/>
        </w:rPr>
        <w:t>menos a los 384 comprometidos, 29 más que el ejercicio previo, que incluyen</w:t>
      </w:r>
      <w:r w:rsidR="00C37A50">
        <w:rPr>
          <w:rFonts w:ascii="Soberana Sans" w:hAnsi="Soberana Sans"/>
          <w:sz w:val="20"/>
          <w:szCs w:val="20"/>
          <w:lang w:val="es-MX"/>
        </w:rPr>
        <w:t xml:space="preserve"> </w:t>
      </w:r>
      <w:r w:rsidR="00C37A50" w:rsidRPr="00C37A50">
        <w:rPr>
          <w:rFonts w:ascii="Soberana Sans" w:hAnsi="Soberana Sans"/>
          <w:sz w:val="20"/>
          <w:szCs w:val="20"/>
          <w:lang w:val="es-MX"/>
        </w:rPr>
        <w:t>artículos (81.5%), capítulos de libro (17%), y edición de libros (1.5%).</w:t>
      </w:r>
    </w:p>
    <w:p w:rsidR="00C37A50" w:rsidRPr="00412EC9" w:rsidRDefault="00C37A50" w:rsidP="00C37A50">
      <w:pPr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</w:p>
    <w:p w:rsidR="00792C5D" w:rsidRDefault="00C37A50" w:rsidP="00C37A50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  <w:r w:rsidRPr="00C37A50">
        <w:rPr>
          <w:rFonts w:ascii="Soberana Sans" w:hAnsi="Soberana Sans"/>
          <w:sz w:val="20"/>
          <w:szCs w:val="20"/>
          <w:lang w:val="es-MX"/>
        </w:rPr>
        <w:t>El indicador de generación de conocimiento de c</w:t>
      </w:r>
      <w:r>
        <w:rPr>
          <w:rFonts w:ascii="Soberana Sans" w:hAnsi="Soberana Sans"/>
          <w:sz w:val="20"/>
          <w:szCs w:val="20"/>
          <w:lang w:val="es-MX"/>
        </w:rPr>
        <w:t>alidad alcanzó un nivel de 2.81</w:t>
      </w:r>
      <w:r w:rsidRPr="00C37A50">
        <w:rPr>
          <w:rFonts w:ascii="Soberana Sans" w:hAnsi="Soberana Sans"/>
          <w:sz w:val="20"/>
          <w:szCs w:val="20"/>
          <w:lang w:val="es-MX"/>
        </w:rPr>
        <w:t>, lo cual representa</w:t>
      </w:r>
      <w:r>
        <w:rPr>
          <w:rFonts w:ascii="Soberana Sans" w:hAnsi="Soberana Sans"/>
          <w:sz w:val="20"/>
          <w:szCs w:val="20"/>
          <w:lang w:val="es-MX"/>
        </w:rPr>
        <w:t xml:space="preserve"> </w:t>
      </w:r>
      <w:r w:rsidRPr="00C37A50">
        <w:rPr>
          <w:rFonts w:ascii="Soberana Sans" w:hAnsi="Soberana Sans"/>
          <w:sz w:val="20"/>
          <w:szCs w:val="20"/>
          <w:lang w:val="es-MX"/>
        </w:rPr>
        <w:t>104% de la meta anual comprometida (2.70).</w:t>
      </w:r>
    </w:p>
    <w:p w:rsidR="00C37A50" w:rsidRDefault="00C37A50" w:rsidP="00C37A50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577CC3" w:rsidRDefault="00070CB2" w:rsidP="003B7495">
      <w:pPr>
        <w:spacing w:after="0" w:line="240" w:lineRule="auto"/>
        <w:jc w:val="both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 xml:space="preserve">Información adicional sobre cumplimiento de metas </w:t>
      </w:r>
      <w:r w:rsidR="00C37A50">
        <w:rPr>
          <w:rFonts w:ascii="Soberana Sans" w:hAnsi="Soberana Sans"/>
          <w:sz w:val="20"/>
          <w:szCs w:val="20"/>
          <w:lang w:val="es-MX"/>
        </w:rPr>
        <w:t>2017</w:t>
      </w:r>
      <w:r w:rsidR="003B7495">
        <w:rPr>
          <w:rFonts w:ascii="Soberana Sans" w:hAnsi="Soberana Sans"/>
          <w:sz w:val="20"/>
          <w:szCs w:val="20"/>
          <w:lang w:val="es-MX"/>
        </w:rPr>
        <w:t xml:space="preserve"> </w:t>
      </w:r>
      <w:r>
        <w:rPr>
          <w:rFonts w:ascii="Soberana Sans" w:hAnsi="Soberana Sans"/>
          <w:sz w:val="20"/>
          <w:szCs w:val="20"/>
          <w:lang w:val="es-MX"/>
        </w:rPr>
        <w:t>se puede encontrar en el documento “Observaciones de los Comisarios Públicos al Informe de Autoevaluación, ejercicio 201</w:t>
      </w:r>
      <w:r w:rsidR="00C37A50">
        <w:rPr>
          <w:rFonts w:ascii="Soberana Sans" w:hAnsi="Soberana Sans"/>
          <w:sz w:val="20"/>
          <w:szCs w:val="20"/>
          <w:lang w:val="es-MX"/>
        </w:rPr>
        <w:t>7</w:t>
      </w:r>
      <w:r>
        <w:rPr>
          <w:rFonts w:ascii="Soberana Sans" w:hAnsi="Soberana Sans"/>
          <w:sz w:val="20"/>
          <w:szCs w:val="20"/>
          <w:lang w:val="es-MX"/>
        </w:rPr>
        <w:t>” en la dirección Web:</w:t>
      </w:r>
    </w:p>
    <w:p w:rsidR="00070CB2" w:rsidRDefault="00070CB2" w:rsidP="00412EC9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070CB2" w:rsidRDefault="00C37A50" w:rsidP="00412EC9">
      <w:pPr>
        <w:spacing w:after="0" w:line="240" w:lineRule="auto"/>
        <w:rPr>
          <w:rStyle w:val="Hipervnculo"/>
          <w:rFonts w:ascii="Soberana Sans" w:hAnsi="Soberana Sans"/>
          <w:sz w:val="20"/>
          <w:szCs w:val="20"/>
          <w:lang w:val="es-MX"/>
        </w:rPr>
      </w:pPr>
      <w:hyperlink r:id="rId11" w:history="1">
        <w:r w:rsidRPr="006560E3">
          <w:rPr>
            <w:rStyle w:val="Hipervnculo"/>
            <w:rFonts w:ascii="Soberana Sans" w:hAnsi="Soberana Sans"/>
            <w:sz w:val="20"/>
            <w:szCs w:val="20"/>
            <w:lang w:val="es-MX"/>
          </w:rPr>
          <w:t>https://www.ciad.mx/archivos/lcyt/CIAD_Opinion_Informe_Autoe_ej2017.pdf</w:t>
        </w:r>
      </w:hyperlink>
    </w:p>
    <w:p w:rsidR="00C37A50" w:rsidRDefault="00C37A50" w:rsidP="00412EC9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792C5D" w:rsidRDefault="007A58C3" w:rsidP="00412EC9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  <w:r>
        <w:rPr>
          <w:rFonts w:ascii="Soberana Sans" w:hAnsi="Soberana Sans"/>
          <w:sz w:val="20"/>
          <w:szCs w:val="20"/>
          <w:lang w:val="es-MX"/>
        </w:rPr>
        <w:t>Segunda sesión ordinaria 2018</w:t>
      </w:r>
      <w:r w:rsidR="00577CC3">
        <w:rPr>
          <w:rFonts w:ascii="Soberana Sans" w:hAnsi="Soberana Sans"/>
          <w:sz w:val="20"/>
          <w:szCs w:val="20"/>
          <w:lang w:val="es-MX"/>
        </w:rPr>
        <w:t>.</w:t>
      </w:r>
    </w:p>
    <w:p w:rsidR="00577CC3" w:rsidRDefault="00577CC3" w:rsidP="00412EC9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7A58C3" w:rsidRPr="00331322" w:rsidRDefault="007A58C3" w:rsidP="007A58C3">
      <w:pPr>
        <w:shd w:val="clear" w:color="auto" w:fill="FFFFFF"/>
        <w:spacing w:after="0" w:line="240" w:lineRule="auto"/>
        <w:jc w:val="both"/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</w:pPr>
      <w:r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>A la fecha de elaboración del presente (29/10/2018) aún no se cuenta con la versión final del acta de esta sesión.</w:t>
      </w:r>
      <w:r w:rsidRPr="00331322">
        <w:rPr>
          <w:rFonts w:ascii="Soberana Sans" w:eastAsia="Times New Roman" w:hAnsi="Soberana Sans" w:cs="Arial"/>
          <w:bCs/>
          <w:color w:val="2F2F2F"/>
          <w:sz w:val="20"/>
          <w:szCs w:val="20"/>
          <w:lang w:val="es-MX"/>
        </w:rPr>
        <w:t xml:space="preserve"> </w:t>
      </w:r>
    </w:p>
    <w:p w:rsidR="007A58C3" w:rsidRDefault="007A58C3" w:rsidP="00412EC9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AC315B" w:rsidRPr="004650ED" w:rsidRDefault="00AC315B" w:rsidP="00412EC9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sectPr w:rsidR="00AC315B" w:rsidRPr="004650E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31" w:rsidRDefault="002A2D31" w:rsidP="00AC315B">
      <w:pPr>
        <w:spacing w:after="0" w:line="240" w:lineRule="auto"/>
      </w:pPr>
      <w:r>
        <w:separator/>
      </w:r>
    </w:p>
  </w:endnote>
  <w:endnote w:type="continuationSeparator" w:id="0">
    <w:p w:rsidR="002A2D31" w:rsidRDefault="002A2D31" w:rsidP="00AC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31" w:rsidRDefault="002A2D31" w:rsidP="00AC315B">
      <w:pPr>
        <w:spacing w:after="0" w:line="240" w:lineRule="auto"/>
      </w:pPr>
      <w:r>
        <w:separator/>
      </w:r>
    </w:p>
  </w:footnote>
  <w:footnote w:type="continuationSeparator" w:id="0">
    <w:p w:rsidR="002A2D31" w:rsidRDefault="002A2D31" w:rsidP="00AC315B">
      <w:pPr>
        <w:spacing w:after="0" w:line="240" w:lineRule="auto"/>
      </w:pPr>
      <w:r>
        <w:continuationSeparator/>
      </w:r>
    </w:p>
  </w:footnote>
  <w:footnote w:id="1">
    <w:p w:rsidR="007A58C3" w:rsidRPr="00AC315B" w:rsidRDefault="007A58C3" w:rsidP="00091F02">
      <w:pPr>
        <w:pStyle w:val="Textonotapie"/>
        <w:jc w:val="both"/>
        <w:rPr>
          <w:rFonts w:ascii="Soberana Sans" w:hAnsi="Soberana Sans"/>
          <w:sz w:val="16"/>
          <w:szCs w:val="16"/>
          <w:lang w:val="es-MX"/>
        </w:rPr>
      </w:pPr>
      <w:r w:rsidRPr="00AC315B">
        <w:rPr>
          <w:rStyle w:val="Refdenotaalpie"/>
          <w:rFonts w:ascii="Soberana Sans" w:hAnsi="Soberana Sans"/>
          <w:sz w:val="16"/>
          <w:szCs w:val="16"/>
        </w:rPr>
        <w:footnoteRef/>
      </w:r>
      <w:r w:rsidRPr="00AC315B">
        <w:rPr>
          <w:rFonts w:ascii="Soberana Sans" w:hAnsi="Soberana Sans"/>
          <w:sz w:val="16"/>
          <w:szCs w:val="16"/>
          <w:lang w:val="es-MX"/>
        </w:rPr>
        <w:t xml:space="preserve"> Artículo Trigésimo Segundo de los Lineamientos para el impulso, conformación, organización y funcionamiento de los mecanismos de participación ciudadana en las dependencias y entidades de la Administración Pública Federal (Diario Oficial de la Federación, 11 de agosto de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7A58C3" w:rsidTr="00737A9C">
      <w:tc>
        <w:tcPr>
          <w:tcW w:w="2942" w:type="dxa"/>
        </w:tcPr>
        <w:p w:rsidR="007A58C3" w:rsidRDefault="007A58C3" w:rsidP="008562E5">
          <w:pPr>
            <w:pStyle w:val="Encabezado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88D65B5" wp14:editId="73839C81">
                <wp:extent cx="763599" cy="262128"/>
                <wp:effectExtent l="0" t="0" r="0" b="5080"/>
                <wp:docPr id="3" name="Imagen 3" descr="Resultado de imagen para logo s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logo s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467" cy="278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:rsidR="007A58C3" w:rsidRDefault="007A58C3" w:rsidP="008562E5">
          <w:pPr>
            <w:pStyle w:val="Encabezado"/>
            <w:rPr>
              <w:lang w:val="es-MX"/>
            </w:rPr>
          </w:pPr>
        </w:p>
      </w:tc>
      <w:tc>
        <w:tcPr>
          <w:tcW w:w="2943" w:type="dxa"/>
        </w:tcPr>
        <w:p w:rsidR="007A58C3" w:rsidRDefault="007A58C3" w:rsidP="008562E5">
          <w:pPr>
            <w:pStyle w:val="Encabezado"/>
            <w:jc w:val="right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B17F335" wp14:editId="00D9F2ED">
                <wp:extent cx="738554" cy="253532"/>
                <wp:effectExtent l="0" t="0" r="4445" b="0"/>
                <wp:docPr id="2" name="Imagen 2" descr="Resultado de imagen para logo se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sultado de imagen para logo se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340" cy="27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58C3" w:rsidRPr="00AC315B" w:rsidRDefault="007A58C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54E"/>
    <w:multiLevelType w:val="hybridMultilevel"/>
    <w:tmpl w:val="63E846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77C4"/>
    <w:multiLevelType w:val="hybridMultilevel"/>
    <w:tmpl w:val="4E44DD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1435"/>
    <w:multiLevelType w:val="hybridMultilevel"/>
    <w:tmpl w:val="BC14E4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75DBB"/>
    <w:multiLevelType w:val="hybridMultilevel"/>
    <w:tmpl w:val="A6A241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3F"/>
    <w:rsid w:val="0000522D"/>
    <w:rsid w:val="00017BB2"/>
    <w:rsid w:val="000228B8"/>
    <w:rsid w:val="00070CB2"/>
    <w:rsid w:val="00073115"/>
    <w:rsid w:val="00074F73"/>
    <w:rsid w:val="00087014"/>
    <w:rsid w:val="00091F02"/>
    <w:rsid w:val="0009317E"/>
    <w:rsid w:val="0015529D"/>
    <w:rsid w:val="0017157D"/>
    <w:rsid w:val="0017325B"/>
    <w:rsid w:val="001872E5"/>
    <w:rsid w:val="00197C9C"/>
    <w:rsid w:val="001E3614"/>
    <w:rsid w:val="0021667B"/>
    <w:rsid w:val="002A2D31"/>
    <w:rsid w:val="002C1B60"/>
    <w:rsid w:val="0030257F"/>
    <w:rsid w:val="00307FDB"/>
    <w:rsid w:val="00312BBF"/>
    <w:rsid w:val="00331322"/>
    <w:rsid w:val="003B0020"/>
    <w:rsid w:val="003B7495"/>
    <w:rsid w:val="003C38F2"/>
    <w:rsid w:val="003D30EB"/>
    <w:rsid w:val="003F2946"/>
    <w:rsid w:val="00410CD3"/>
    <w:rsid w:val="00411B49"/>
    <w:rsid w:val="00412EC9"/>
    <w:rsid w:val="004650ED"/>
    <w:rsid w:val="004845E3"/>
    <w:rsid w:val="004A7244"/>
    <w:rsid w:val="00516408"/>
    <w:rsid w:val="00520810"/>
    <w:rsid w:val="00533E45"/>
    <w:rsid w:val="00556CB2"/>
    <w:rsid w:val="00577CC3"/>
    <w:rsid w:val="005A1B5D"/>
    <w:rsid w:val="005C339F"/>
    <w:rsid w:val="005C5EEC"/>
    <w:rsid w:val="005F47E2"/>
    <w:rsid w:val="00612179"/>
    <w:rsid w:val="00650383"/>
    <w:rsid w:val="00697F92"/>
    <w:rsid w:val="006D0BE6"/>
    <w:rsid w:val="00737A9C"/>
    <w:rsid w:val="00744A00"/>
    <w:rsid w:val="00781991"/>
    <w:rsid w:val="00782129"/>
    <w:rsid w:val="00792105"/>
    <w:rsid w:val="00792C5D"/>
    <w:rsid w:val="007A58C3"/>
    <w:rsid w:val="008553CC"/>
    <w:rsid w:val="008562E5"/>
    <w:rsid w:val="00866E83"/>
    <w:rsid w:val="0087713B"/>
    <w:rsid w:val="008F3223"/>
    <w:rsid w:val="00907A75"/>
    <w:rsid w:val="009360FA"/>
    <w:rsid w:val="0096684A"/>
    <w:rsid w:val="00967C5E"/>
    <w:rsid w:val="0097536B"/>
    <w:rsid w:val="00981664"/>
    <w:rsid w:val="00A16A80"/>
    <w:rsid w:val="00A651DF"/>
    <w:rsid w:val="00A710EB"/>
    <w:rsid w:val="00A9573F"/>
    <w:rsid w:val="00AB1C2B"/>
    <w:rsid w:val="00AC315B"/>
    <w:rsid w:val="00AD7B5B"/>
    <w:rsid w:val="00AE5FA1"/>
    <w:rsid w:val="00B44CBB"/>
    <w:rsid w:val="00B538DB"/>
    <w:rsid w:val="00B67499"/>
    <w:rsid w:val="00BD1595"/>
    <w:rsid w:val="00BD493E"/>
    <w:rsid w:val="00C36E90"/>
    <w:rsid w:val="00C37A50"/>
    <w:rsid w:val="00C45A70"/>
    <w:rsid w:val="00CC1DCF"/>
    <w:rsid w:val="00CE141F"/>
    <w:rsid w:val="00CF5D9E"/>
    <w:rsid w:val="00D46237"/>
    <w:rsid w:val="00D66202"/>
    <w:rsid w:val="00DC4C1E"/>
    <w:rsid w:val="00DD3D8B"/>
    <w:rsid w:val="00E74BC9"/>
    <w:rsid w:val="00F4446C"/>
    <w:rsid w:val="00F4762F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CE2B"/>
  <w15:chartTrackingRefBased/>
  <w15:docId w15:val="{0401C526-6DA9-447A-9915-313C5379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3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339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C31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31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315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C31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C3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15B"/>
  </w:style>
  <w:style w:type="paragraph" w:styleId="Piedepgina">
    <w:name w:val="footer"/>
    <w:basedOn w:val="Normal"/>
    <w:link w:val="PiedepginaCar"/>
    <w:uiPriority w:val="99"/>
    <w:unhideWhenUsed/>
    <w:rsid w:val="00AC3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15B"/>
  </w:style>
  <w:style w:type="paragraph" w:styleId="Textodeglobo">
    <w:name w:val="Balloon Text"/>
    <w:basedOn w:val="Normal"/>
    <w:link w:val="TextodegloboCar"/>
    <w:uiPriority w:val="99"/>
    <w:semiHidden/>
    <w:unhideWhenUsed/>
    <w:rsid w:val="00BD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59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7A7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1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5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0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8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d.mx/archivos/lcyt/dictamen_CEE_CIAD_201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ad.mx/archivos/lcyt/CIAD_Opinion_Informe_Autoe_ej20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iad.mx/archivos/lcyt/CIAD_Opinion_Informe_Autoe_ej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ad.mx/archivos/lcyt/Evaluacion_CONACYT_CAR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C015-1D16-4B47-BAD0-41F5058D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1498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UPAGCI</dc:creator>
  <cp:keywords/>
  <dc:description/>
  <cp:lastModifiedBy>SALAZAR AGANZA SERGIO</cp:lastModifiedBy>
  <cp:revision>8</cp:revision>
  <cp:lastPrinted>2018-10-12T15:40:00Z</cp:lastPrinted>
  <dcterms:created xsi:type="dcterms:W3CDTF">2018-10-29T18:10:00Z</dcterms:created>
  <dcterms:modified xsi:type="dcterms:W3CDTF">2018-10-30T16:56:00Z</dcterms:modified>
</cp:coreProperties>
</file>