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E5" w:rsidRDefault="008562E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</w:p>
    <w:p w:rsidR="00BD1595" w:rsidRDefault="00BD159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>PROPUESTA DE CONTENIDO DE</w:t>
      </w:r>
    </w:p>
    <w:p w:rsidR="005C339F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 xml:space="preserve">INFORME </w:t>
      </w:r>
      <w:r>
        <w:rPr>
          <w:rFonts w:ascii="Soberana Sans" w:hAnsi="Soberana Sans"/>
          <w:b/>
          <w:sz w:val="24"/>
          <w:szCs w:val="20"/>
          <w:lang w:val="es-MX"/>
        </w:rPr>
        <w:t>A</w:t>
      </w:r>
      <w:r w:rsidRPr="005C339F">
        <w:rPr>
          <w:rFonts w:ascii="Soberana Sans" w:hAnsi="Soberana Sans"/>
          <w:b/>
          <w:sz w:val="24"/>
          <w:szCs w:val="20"/>
          <w:lang w:val="es-MX"/>
        </w:rPr>
        <w:t xml:space="preserve">NUAL </w:t>
      </w:r>
    </w:p>
    <w:p w:rsidR="005C339F" w:rsidRPr="005C339F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>DE MECANISMO DE PARTICIPACI</w:t>
      </w:r>
      <w:r>
        <w:rPr>
          <w:rFonts w:ascii="Soberana Sans" w:hAnsi="Soberana Sans"/>
          <w:b/>
          <w:sz w:val="24"/>
          <w:szCs w:val="20"/>
          <w:lang w:val="es-MX"/>
        </w:rPr>
        <w:t>ÓN CUDADANA 2018</w:t>
      </w:r>
      <w:r w:rsidR="00AC315B">
        <w:rPr>
          <w:rStyle w:val="Refdenotaalpie"/>
          <w:rFonts w:ascii="Soberana Sans" w:hAnsi="Soberana Sans"/>
          <w:b/>
          <w:sz w:val="24"/>
          <w:szCs w:val="20"/>
          <w:lang w:val="es-MX"/>
        </w:rPr>
        <w:footnoteReference w:id="1"/>
      </w:r>
    </w:p>
    <w:p w:rsidR="005C339F" w:rsidRPr="005C339F" w:rsidRDefault="005C339F" w:rsidP="00AC315B">
      <w:pPr>
        <w:spacing w:after="0" w:line="240" w:lineRule="aut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66202" w:rsidRPr="00AC315B" w:rsidTr="00AC315B">
        <w:tc>
          <w:tcPr>
            <w:tcW w:w="3539" w:type="dxa"/>
          </w:tcPr>
          <w:p w:rsidR="00D66202" w:rsidRPr="00AC315B" w:rsidRDefault="00D66202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Participación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Ciudadana</w:t>
            </w:r>
            <w:proofErr w:type="spellEnd"/>
          </w:p>
        </w:tc>
        <w:tc>
          <w:tcPr>
            <w:tcW w:w="5289" w:type="dxa"/>
          </w:tcPr>
          <w:p w:rsidR="00D66202" w:rsidRPr="00AC315B" w:rsidRDefault="00303D3E" w:rsidP="00AC315B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Comité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Externo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Evaluación</w:t>
            </w:r>
            <w:proofErr w:type="spellEnd"/>
            <w:r w:rsidR="00F4762F">
              <w:rPr>
                <w:rFonts w:ascii="Soberana Sans" w:hAnsi="Soberana Sans"/>
                <w:sz w:val="16"/>
                <w:szCs w:val="16"/>
              </w:rPr>
              <w:t xml:space="preserve"> del CIAD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A710EB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Ramo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sector</w:t>
            </w:r>
          </w:p>
        </w:tc>
        <w:tc>
          <w:tcPr>
            <w:tcW w:w="5289" w:type="dxa"/>
          </w:tcPr>
          <w:p w:rsidR="00A710EB" w:rsidRPr="00AC315B" w:rsidRDefault="00F4762F" w:rsidP="00AC315B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38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Ciencia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Tecnología</w:t>
            </w:r>
            <w:proofErr w:type="spellEnd"/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A710EB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Dependencia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5289" w:type="dxa"/>
          </w:tcPr>
          <w:p w:rsidR="00A710EB" w:rsidRPr="00AC315B" w:rsidRDefault="00F4762F" w:rsidP="00AC315B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Centro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Investigación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en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Alimentación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Desarrollo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>, A.C.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D66202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Área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responsable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del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</w:p>
        </w:tc>
        <w:tc>
          <w:tcPr>
            <w:tcW w:w="5289" w:type="dxa"/>
          </w:tcPr>
          <w:p w:rsidR="00A710EB" w:rsidRPr="00AC315B" w:rsidRDefault="00F4762F" w:rsidP="00AC315B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Dirección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General</w:t>
            </w:r>
          </w:p>
        </w:tc>
      </w:tr>
    </w:tbl>
    <w:p w:rsidR="00792105" w:rsidRDefault="00792105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AC315B" w:rsidRDefault="00AC315B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091F02" w:rsidRPr="005C339F" w:rsidRDefault="00091F02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5C339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</w:t>
      </w:r>
      <w:r w:rsidR="00091F02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A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vance en el cumpl</w:t>
      </w:r>
      <w:r w:rsidR="005C339F"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imiento del programa de trabajo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:rsidR="005C339F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AC315B" w:rsidRPr="004650ED" w:rsidRDefault="00AA2589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Durante 2018 </w:t>
      </w:r>
      <w:r w:rsidR="00563104" w:rsidRPr="0056310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el Co</w:t>
      </w:r>
      <w:r w:rsidR="00CB72DA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mité Externo de Evaluación </w:t>
      </w:r>
      <w:r w:rsidR="00563104" w:rsidRPr="0056310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del CIAD</w:t>
      </w:r>
      <w:r w:rsidR="00F756AC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(CEE)</w:t>
      </w:r>
      <w:r w:rsidR="00563104" w:rsidRPr="0056310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se reunió durante los días </w:t>
      </w: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15 y 16</w:t>
      </w:r>
      <w:r w:rsidR="00563104" w:rsidRPr="0056310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de marzo de 201</w:t>
      </w: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8</w:t>
      </w:r>
      <w:r w:rsidR="00563104" w:rsidRPr="0056310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, cumpliendo con el </w:t>
      </w:r>
      <w:r w:rsidR="007B7575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mínimo número de sesiones anuales (una) establecido en su</w:t>
      </w:r>
      <w:r w:rsidR="00563104" w:rsidRPr="0056310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Marco de Operación.</w:t>
      </w: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Actividades realizadas en el marco del Mecan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ismo de participación ciudadana.</w:t>
      </w:r>
    </w:p>
    <w:p w:rsidR="005C339F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7713B" w:rsidRDefault="0087713B" w:rsidP="0087713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Se </w:t>
      </w:r>
      <w:r w:rsidR="007B7575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evaluaron los resultados e impactos de las actividades científicas, de investigación, docentes y de innovación, </w:t>
      </w:r>
      <w:r w:rsidR="00400C4F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además</w:t>
      </w:r>
      <w:r w:rsidR="007B7575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se analizaron los aspectos administrativos y financieros del Centro.</w:t>
      </w:r>
    </w:p>
    <w:p w:rsidR="007B7575" w:rsidRDefault="007B7575" w:rsidP="00F756A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 w:rsidRPr="007B7575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Se analizó el informe anual de autoevaluación (actividades</w:t>
      </w:r>
      <w:r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</w:t>
      </w:r>
      <w:r w:rsidRPr="007B7575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sustantivas) del Centro.</w:t>
      </w:r>
    </w:p>
    <w:p w:rsidR="0087713B" w:rsidRPr="007B7575" w:rsidRDefault="007B7575" w:rsidP="00F756A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Se emitió el dictamen </w:t>
      </w:r>
      <w:r w:rsidR="00F756AC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de conformidad con el artículo 9 fracción III de su Marco de Operación.</w:t>
      </w:r>
    </w:p>
    <w:p w:rsidR="00AC315B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697F92" w:rsidRPr="004650ED" w:rsidRDefault="00697F92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 xml:space="preserve">    Evaluación 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de los resultados alcanzados.</w:t>
      </w:r>
    </w:p>
    <w:p w:rsidR="0087713B" w:rsidRDefault="0087713B" w:rsidP="0087713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C315B" w:rsidRDefault="00AA2589" w:rsidP="00950010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En el dictamen de la evaluación anual 2018 se incluyó la siguiente opinión del CEE: </w:t>
      </w:r>
      <w:r w:rsid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“</w:t>
      </w:r>
      <w:r w:rsidR="00950010" w:rsidRP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En general se reconoce que la mayoría de las observaciones emitidas por este comité han</w:t>
      </w:r>
      <w:r w:rsid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</w:t>
      </w:r>
      <w:r w:rsidR="00950010" w:rsidRP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sido debidamente atendidas. Por ejemplo vemos con beneplácito que se avanzó en la</w:t>
      </w:r>
      <w:r w:rsid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</w:t>
      </w:r>
      <w:r w:rsidR="00950010" w:rsidRP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reorganización interna de acuerdo a las áreas </w:t>
      </w:r>
      <w:proofErr w:type="gramStart"/>
      <w:r w:rsidR="00950010" w:rsidRP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propuestas</w:t>
      </w:r>
      <w:r w:rsid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,…</w:t>
      </w:r>
      <w:proofErr w:type="gramEnd"/>
      <w:r w:rsidR="00950010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”</w:t>
      </w:r>
    </w:p>
    <w:p w:rsidR="00950010" w:rsidRPr="004650ED" w:rsidRDefault="00950010" w:rsidP="00950010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IV.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En su caso, resultados generados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:rsidR="00A9573F" w:rsidRDefault="00A9573F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:rsidR="00A9573F" w:rsidRDefault="00AD4968" w:rsidP="00C86C67">
      <w:p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En la sección 4 (Informe sobre el cumplimiento de los acuerdos previos, adoptados por el Órgano de Gobierno) de la carpeta de la Primera Sesión Ordinaria </w:t>
      </w:r>
      <w:r w:rsidR="00A42C9F">
        <w:rPr>
          <w:rFonts w:ascii="Soberana Sans" w:hAnsi="Soberana Sans"/>
          <w:sz w:val="20"/>
          <w:szCs w:val="20"/>
          <w:lang w:val="es-MX"/>
        </w:rPr>
        <w:t xml:space="preserve">2018 </w:t>
      </w:r>
      <w:r>
        <w:rPr>
          <w:rFonts w:ascii="Soberana Sans" w:hAnsi="Soberana Sans"/>
          <w:sz w:val="20"/>
          <w:szCs w:val="20"/>
          <w:lang w:val="es-MX"/>
        </w:rPr>
        <w:t>del Órgano</w:t>
      </w:r>
      <w:r w:rsidR="00A42C9F">
        <w:rPr>
          <w:rFonts w:ascii="Soberana Sans" w:hAnsi="Soberana Sans"/>
          <w:sz w:val="20"/>
          <w:szCs w:val="20"/>
          <w:lang w:val="es-MX"/>
        </w:rPr>
        <w:t xml:space="preserve"> de Gobierno se informa que durante el 2017 se trabajó en la atención de 6 acuerdos del CEE, los cuáles continuaron pendientes para el 2018. </w:t>
      </w:r>
      <w:bookmarkStart w:id="0" w:name="_GoBack"/>
      <w:bookmarkEnd w:id="0"/>
    </w:p>
    <w:p w:rsidR="004650ED" w:rsidRDefault="004650ED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:rsidR="00AC315B" w:rsidRPr="004650ED" w:rsidRDefault="00AC315B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sectPr w:rsidR="00AC315B" w:rsidRPr="004650E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1C" w:rsidRDefault="00A7121C" w:rsidP="00AC315B">
      <w:pPr>
        <w:spacing w:after="0" w:line="240" w:lineRule="auto"/>
      </w:pPr>
      <w:r>
        <w:separator/>
      </w:r>
    </w:p>
  </w:endnote>
  <w:endnote w:type="continuationSeparator" w:id="0">
    <w:p w:rsidR="00A7121C" w:rsidRDefault="00A7121C" w:rsidP="00AC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1C" w:rsidRDefault="00A7121C" w:rsidP="00AC315B">
      <w:pPr>
        <w:spacing w:after="0" w:line="240" w:lineRule="auto"/>
      </w:pPr>
      <w:r>
        <w:separator/>
      </w:r>
    </w:p>
  </w:footnote>
  <w:footnote w:type="continuationSeparator" w:id="0">
    <w:p w:rsidR="00A7121C" w:rsidRDefault="00A7121C" w:rsidP="00AC315B">
      <w:pPr>
        <w:spacing w:after="0" w:line="240" w:lineRule="auto"/>
      </w:pPr>
      <w:r>
        <w:continuationSeparator/>
      </w:r>
    </w:p>
  </w:footnote>
  <w:footnote w:id="1">
    <w:p w:rsidR="00AD4968" w:rsidRPr="00AC315B" w:rsidRDefault="00AD4968" w:rsidP="00091F02">
      <w:pPr>
        <w:pStyle w:val="Textonotapie"/>
        <w:jc w:val="both"/>
        <w:rPr>
          <w:rFonts w:ascii="Soberana Sans" w:hAnsi="Soberana Sans"/>
          <w:sz w:val="16"/>
          <w:szCs w:val="16"/>
          <w:lang w:val="es-MX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Artículo Trigésimo Segundo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AD4968" w:rsidTr="00F756AC">
      <w:tc>
        <w:tcPr>
          <w:tcW w:w="2942" w:type="dxa"/>
        </w:tcPr>
        <w:p w:rsidR="00AD4968" w:rsidRDefault="00AD4968" w:rsidP="008562E5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88D65B5" wp14:editId="73839C81">
                <wp:extent cx="763599" cy="262128"/>
                <wp:effectExtent l="0" t="0" r="0" b="5080"/>
                <wp:docPr id="3" name="Imagen 3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AD4968" w:rsidRDefault="00AD4968" w:rsidP="008562E5">
          <w:pPr>
            <w:pStyle w:val="Encabezado"/>
            <w:rPr>
              <w:lang w:val="es-MX"/>
            </w:rPr>
          </w:pPr>
        </w:p>
      </w:tc>
      <w:tc>
        <w:tcPr>
          <w:tcW w:w="2943" w:type="dxa"/>
        </w:tcPr>
        <w:p w:rsidR="00AD4968" w:rsidRDefault="00AD4968" w:rsidP="008562E5">
          <w:pPr>
            <w:pStyle w:val="Encabezado"/>
            <w:jc w:val="right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B17F335" wp14:editId="00D9F2ED">
                <wp:extent cx="738554" cy="253532"/>
                <wp:effectExtent l="0" t="0" r="4445" b="0"/>
                <wp:docPr id="2" name="Imagen 2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4968" w:rsidRPr="00AC315B" w:rsidRDefault="00AD496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1435"/>
    <w:multiLevelType w:val="hybridMultilevel"/>
    <w:tmpl w:val="BC14E4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3F"/>
    <w:rsid w:val="00051835"/>
    <w:rsid w:val="00091F02"/>
    <w:rsid w:val="000A28B1"/>
    <w:rsid w:val="00303D3E"/>
    <w:rsid w:val="003F2946"/>
    <w:rsid w:val="00400C4F"/>
    <w:rsid w:val="004341FB"/>
    <w:rsid w:val="004650ED"/>
    <w:rsid w:val="004845E3"/>
    <w:rsid w:val="00520810"/>
    <w:rsid w:val="00533E45"/>
    <w:rsid w:val="00563104"/>
    <w:rsid w:val="005A1B5D"/>
    <w:rsid w:val="005C339F"/>
    <w:rsid w:val="0069414F"/>
    <w:rsid w:val="00697F92"/>
    <w:rsid w:val="00792105"/>
    <w:rsid w:val="007B7575"/>
    <w:rsid w:val="00837431"/>
    <w:rsid w:val="008553CC"/>
    <w:rsid w:val="008562E5"/>
    <w:rsid w:val="00866E83"/>
    <w:rsid w:val="0087713B"/>
    <w:rsid w:val="00950010"/>
    <w:rsid w:val="00A42C9F"/>
    <w:rsid w:val="00A651DF"/>
    <w:rsid w:val="00A710EB"/>
    <w:rsid w:val="00A7121C"/>
    <w:rsid w:val="00A9573F"/>
    <w:rsid w:val="00AA2589"/>
    <w:rsid w:val="00AC315B"/>
    <w:rsid w:val="00AD4968"/>
    <w:rsid w:val="00B53042"/>
    <w:rsid w:val="00B67499"/>
    <w:rsid w:val="00BD1595"/>
    <w:rsid w:val="00C86C67"/>
    <w:rsid w:val="00CB72DA"/>
    <w:rsid w:val="00D46237"/>
    <w:rsid w:val="00D66202"/>
    <w:rsid w:val="00E74BC9"/>
    <w:rsid w:val="00EF5F61"/>
    <w:rsid w:val="00F4762F"/>
    <w:rsid w:val="00F71261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21E5"/>
  <w15:chartTrackingRefBased/>
  <w15:docId w15:val="{0401C526-6DA9-447A-9915-313C5379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3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C31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1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15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C3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15B"/>
  </w:style>
  <w:style w:type="paragraph" w:styleId="Piedepgina">
    <w:name w:val="footer"/>
    <w:basedOn w:val="Normal"/>
    <w:link w:val="Piedepgina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15B"/>
  </w:style>
  <w:style w:type="paragraph" w:styleId="Textodeglobo">
    <w:name w:val="Balloon Text"/>
    <w:basedOn w:val="Normal"/>
    <w:link w:val="TextodegloboCar"/>
    <w:uiPriority w:val="99"/>
    <w:semiHidden/>
    <w:unhideWhenUsed/>
    <w:rsid w:val="00BD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8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E299-973D-4D68-9C80-40DD1571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SALAZAR AGANZA SERGIO</cp:lastModifiedBy>
  <cp:revision>3</cp:revision>
  <cp:lastPrinted>2018-10-12T15:40:00Z</cp:lastPrinted>
  <dcterms:created xsi:type="dcterms:W3CDTF">2018-10-14T22:59:00Z</dcterms:created>
  <dcterms:modified xsi:type="dcterms:W3CDTF">2018-10-15T03:49:00Z</dcterms:modified>
</cp:coreProperties>
</file>